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2615" w14:textId="551874E7" w:rsidR="00613606" w:rsidRDefault="00613606" w:rsidP="00350F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4D87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350F5B">
        <w:rPr>
          <w:rFonts w:ascii="Arial" w:hAnsi="Arial" w:cs="Arial"/>
          <w:b/>
          <w:bCs/>
          <w:sz w:val="24"/>
          <w:szCs w:val="24"/>
        </w:rPr>
        <w:t>1</w:t>
      </w:r>
    </w:p>
    <w:p w14:paraId="7BD60FDD" w14:textId="22D4BA3C" w:rsidR="001F60DF" w:rsidRPr="000C4D87" w:rsidRDefault="00350F5B" w:rsidP="00350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capítulo encontramos a introdução do tema pluralismo, principalmente o que acontece com o pluralismo contemporâneo e os seus desafios para o cristianismo. </w:t>
      </w:r>
      <w:r w:rsidRPr="00350F5B">
        <w:rPr>
          <w:rFonts w:ascii="Arial" w:hAnsi="Arial" w:cs="Arial"/>
          <w:sz w:val="24"/>
          <w:szCs w:val="24"/>
        </w:rPr>
        <w:t>É do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 xml:space="preserve">pluralismo filosófico que se origina o pluralismo religioso radical. </w:t>
      </w:r>
      <w:r w:rsidR="0038780A"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O autor demonstra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 xml:space="preserve">as diferenças entre o exclusivismo, o </w:t>
      </w:r>
      <w:proofErr w:type="spellStart"/>
      <w:r w:rsidRPr="00350F5B">
        <w:rPr>
          <w:rFonts w:ascii="Arial" w:hAnsi="Arial" w:cs="Arial"/>
          <w:sz w:val="24"/>
          <w:szCs w:val="24"/>
        </w:rPr>
        <w:t>inclusivismo</w:t>
      </w:r>
      <w:proofErr w:type="spellEnd"/>
      <w:r w:rsidRPr="00350F5B">
        <w:rPr>
          <w:rFonts w:ascii="Arial" w:hAnsi="Arial" w:cs="Arial"/>
          <w:sz w:val="24"/>
          <w:szCs w:val="24"/>
        </w:rPr>
        <w:t xml:space="preserve"> e o pluralismo religioso, definindo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este último como o foco principal de seu trabalho.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Na primeira parte da obra é abordada a questão hermenêutica. Carson demonstra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que foram as mudanças na hermenêutica que abriram espaço para o pluralismo e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para a perda de um referencial com relação à verdade (característica marcante do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 xml:space="preserve">pós-modernismo). Citando pensadores como Locke, </w:t>
      </w:r>
      <w:proofErr w:type="spellStart"/>
      <w:r w:rsidRPr="00350F5B">
        <w:rPr>
          <w:rFonts w:ascii="Arial" w:hAnsi="Arial" w:cs="Arial"/>
          <w:sz w:val="24"/>
          <w:szCs w:val="24"/>
        </w:rPr>
        <w:t>Lyotard</w:t>
      </w:r>
      <w:proofErr w:type="spellEnd"/>
      <w:r w:rsidRPr="00350F5B">
        <w:rPr>
          <w:rFonts w:ascii="Arial" w:hAnsi="Arial" w:cs="Arial"/>
          <w:sz w:val="24"/>
          <w:szCs w:val="24"/>
        </w:rPr>
        <w:t>, Kierkegaard, Kant,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Heidegger, Gadamer e Derrida, apresenta ao leitor uma síntese do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>filosófico até o surgimento do “pós-modernismo desconstrutivo” e do abandono à</w:t>
      </w:r>
      <w:r>
        <w:rPr>
          <w:rFonts w:ascii="Arial" w:hAnsi="Arial" w:cs="Arial"/>
          <w:sz w:val="24"/>
          <w:szCs w:val="24"/>
        </w:rPr>
        <w:t xml:space="preserve"> </w:t>
      </w:r>
      <w:r w:rsidRPr="00350F5B">
        <w:rPr>
          <w:rFonts w:ascii="Arial" w:hAnsi="Arial" w:cs="Arial"/>
          <w:sz w:val="24"/>
          <w:szCs w:val="24"/>
        </w:rPr>
        <w:t xml:space="preserve">ideia de verdade objetiva. </w:t>
      </w:r>
    </w:p>
    <w:sectPr w:rsidR="001F60DF" w:rsidRPr="000C4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06"/>
    <w:rsid w:val="000C4D87"/>
    <w:rsid w:val="001F60DF"/>
    <w:rsid w:val="00275914"/>
    <w:rsid w:val="00350F5B"/>
    <w:rsid w:val="0038780A"/>
    <w:rsid w:val="004D7F1C"/>
    <w:rsid w:val="00613606"/>
    <w:rsid w:val="00D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06EC"/>
  <w15:chartTrackingRefBased/>
  <w15:docId w15:val="{8AFE68CF-845C-4C25-8743-8F820CA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2021-12-20T23:23:00Z</dcterms:created>
  <dcterms:modified xsi:type="dcterms:W3CDTF">2021-12-20T23:23:00Z</dcterms:modified>
</cp:coreProperties>
</file>